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4F3" w:rsidRPr="008924F3" w:rsidRDefault="008924F3" w:rsidP="008924F3">
      <w:pPr>
        <w:autoSpaceDE w:val="0"/>
        <w:autoSpaceDN w:val="0"/>
        <w:adjustRightInd w:val="0"/>
        <w:spacing w:after="0" w:line="240" w:lineRule="auto"/>
        <w:jc w:val="center"/>
        <w:rPr>
          <w:rFonts w:ascii="Times New Roman" w:hAnsi="Times New Roman" w:cs="Times New Roman"/>
          <w:b/>
          <w:sz w:val="32"/>
          <w:szCs w:val="32"/>
        </w:rPr>
      </w:pPr>
      <w:r w:rsidRPr="008924F3">
        <w:rPr>
          <w:rFonts w:ascii="Times New Roman" w:hAnsi="Times New Roman" w:cs="Times New Roman"/>
          <w:b/>
          <w:sz w:val="32"/>
          <w:szCs w:val="32"/>
        </w:rPr>
        <w:t>AUDIT-FREE CLOUD STORAGE VIA DENIABLE</w:t>
      </w:r>
    </w:p>
    <w:p w:rsidR="008924F3" w:rsidRPr="008924F3" w:rsidRDefault="008924F3" w:rsidP="008924F3">
      <w:pPr>
        <w:jc w:val="center"/>
        <w:rPr>
          <w:rFonts w:ascii="Times New Roman" w:hAnsi="Times New Roman" w:cs="Times New Roman"/>
          <w:b/>
          <w:sz w:val="32"/>
          <w:szCs w:val="32"/>
        </w:rPr>
      </w:pPr>
      <w:r w:rsidRPr="008924F3">
        <w:rPr>
          <w:rFonts w:ascii="Times New Roman" w:hAnsi="Times New Roman" w:cs="Times New Roman"/>
          <w:b/>
          <w:sz w:val="32"/>
          <w:szCs w:val="32"/>
        </w:rPr>
        <w:t>ATTRIBUTE-BASED ENCRYPTION</w:t>
      </w:r>
    </w:p>
    <w:p w:rsidR="008924F3" w:rsidRPr="008924F3" w:rsidRDefault="008924F3" w:rsidP="008924F3">
      <w:pPr>
        <w:jc w:val="both"/>
        <w:rPr>
          <w:rFonts w:ascii="Times New Roman" w:hAnsi="Times New Roman" w:cs="Times New Roman"/>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r w:rsidRPr="008924F3">
        <w:rPr>
          <w:rFonts w:ascii="Times New Roman" w:hAnsi="Times New Roman" w:cs="Times New Roman"/>
          <w:b/>
          <w:color w:val="231F20"/>
          <w:sz w:val="28"/>
          <w:szCs w:val="28"/>
        </w:rPr>
        <w:t>ABSTRACT</w:t>
      </w:r>
    </w:p>
    <w:p w:rsidR="008924F3" w:rsidRPr="008924F3" w:rsidRDefault="008924F3" w:rsidP="008924F3">
      <w:pPr>
        <w:spacing w:line="360" w:lineRule="auto"/>
        <w:jc w:val="both"/>
        <w:rPr>
          <w:rFonts w:ascii="Times New Roman" w:hAnsi="Times New Roman" w:cs="Times New Roman"/>
          <w:color w:val="000000" w:themeColor="text1"/>
          <w:sz w:val="28"/>
          <w:szCs w:val="28"/>
        </w:rPr>
      </w:pPr>
      <w:r w:rsidRPr="008924F3">
        <w:rPr>
          <w:rFonts w:ascii="Times New Roman" w:hAnsi="Times New Roman" w:cs="Times New Roman"/>
          <w:color w:val="000000" w:themeColor="text1"/>
          <w:sz w:val="28"/>
          <w:szCs w:val="28"/>
        </w:rPr>
        <w:tab/>
        <w:t>Cloud storage services have become increasingly popular. Because of the importance of privacy, many cloud storage encryption schemes have been proposed to protect data from those who do not have access. All such schemes assumed that cloud storage providers are safe and cannot be hacked; however, in practice, some authorities (i.e., coercers) may force cloud storage providers to reveal user secrets or confidential data on the cloud, thus altogether circumventing storage encryption schemes. In this paper, we present our design for a new cloud storage encryption scheme that enables cloud storage providers to create convincing fake user secrets to protect user privacy. Since coercers cannot tell if obtained secrets are true or not, the cloud storage providers ensure that user privacy is still securely protected.</w:t>
      </w:r>
      <w:r w:rsidRPr="008924F3">
        <w:rPr>
          <w:rFonts w:ascii="Times New Roman" w:hAnsi="Times New Roman" w:cs="Times New Roman"/>
          <w:sz w:val="28"/>
          <w:szCs w:val="28"/>
        </w:rPr>
        <w:t xml:space="preserve"> </w:t>
      </w:r>
      <w:r w:rsidRPr="008924F3">
        <w:rPr>
          <w:rFonts w:ascii="Times New Roman" w:hAnsi="Times New Roman" w:cs="Times New Roman"/>
          <w:color w:val="000000" w:themeColor="text1"/>
          <w:sz w:val="28"/>
          <w:szCs w:val="28"/>
        </w:rPr>
        <w:t>Most of the proposed schemes assume cloud storage service providers or trusted third parties handling key management are trusted and cannot be hacked; however, in practice, some entities may intercept communications between users and cloud storage providers and then compel storage providers to release user secrets by using government power or other means. In this case, encrypted data are assumed to be known and storage providers are requested to release user secrets.</w:t>
      </w: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r w:rsidRPr="008924F3">
        <w:rPr>
          <w:rFonts w:ascii="Times New Roman" w:hAnsi="Times New Roman" w:cs="Times New Roman"/>
          <w:b/>
          <w:color w:val="231F20"/>
          <w:sz w:val="28"/>
          <w:szCs w:val="28"/>
        </w:rPr>
        <w:lastRenderedPageBreak/>
        <w:t>EXISTING SYSTEM</w:t>
      </w:r>
      <w:r>
        <w:rPr>
          <w:rFonts w:ascii="Times New Roman" w:hAnsi="Times New Roman" w:cs="Times New Roman"/>
          <w:b/>
          <w:color w:val="231F20"/>
          <w:sz w:val="28"/>
          <w:szCs w:val="28"/>
        </w:rPr>
        <w:t>:</w:t>
      </w:r>
    </w:p>
    <w:p w:rsidR="008924F3" w:rsidRPr="008924F3" w:rsidRDefault="008924F3" w:rsidP="008924F3">
      <w:pPr>
        <w:spacing w:line="360" w:lineRule="auto"/>
        <w:jc w:val="both"/>
        <w:rPr>
          <w:rFonts w:ascii="Times New Roman" w:hAnsi="Times New Roman" w:cs="Times New Roman"/>
          <w:sz w:val="28"/>
          <w:szCs w:val="28"/>
        </w:rPr>
      </w:pPr>
      <w:r w:rsidRPr="008924F3">
        <w:rPr>
          <w:rFonts w:ascii="Times New Roman" w:hAnsi="Times New Roman" w:cs="Times New Roman"/>
          <w:sz w:val="28"/>
          <w:szCs w:val="28"/>
        </w:rPr>
        <w:tab/>
        <w:t>Most previous deniable encryption schemes, we do not use translucent sets or simulatable public key systems to implement deniability. Instead, we adopt the idea proposed in with some improvements. We construct our deniable encryption scheme through a multidimensional space. All data are encrypted into the multidimensional space. Only with the correct composition of dimensions is the original data obtainable. With false composition, cipher</w:t>
      </w:r>
      <w:r>
        <w:rPr>
          <w:rFonts w:ascii="Times New Roman" w:hAnsi="Times New Roman" w:cs="Times New Roman"/>
          <w:sz w:val="28"/>
          <w:szCs w:val="28"/>
        </w:rPr>
        <w:t xml:space="preserve"> </w:t>
      </w:r>
      <w:r w:rsidRPr="008924F3">
        <w:rPr>
          <w:rFonts w:ascii="Times New Roman" w:hAnsi="Times New Roman" w:cs="Times New Roman"/>
          <w:sz w:val="28"/>
          <w:szCs w:val="28"/>
        </w:rPr>
        <w:t xml:space="preserve">texts will be decrypted to predetermined fake data. The information defining the dimensions is kept secret. We make use of </w:t>
      </w:r>
      <w:proofErr w:type="gramStart"/>
      <w:r w:rsidRPr="008924F3">
        <w:rPr>
          <w:rFonts w:ascii="Times New Roman" w:hAnsi="Times New Roman" w:cs="Times New Roman"/>
          <w:sz w:val="28"/>
          <w:szCs w:val="28"/>
        </w:rPr>
        <w:t>composite</w:t>
      </w:r>
      <w:proofErr w:type="gramEnd"/>
      <w:r w:rsidRPr="008924F3">
        <w:rPr>
          <w:rFonts w:ascii="Times New Roman" w:hAnsi="Times New Roman" w:cs="Times New Roman"/>
          <w:sz w:val="28"/>
          <w:szCs w:val="28"/>
        </w:rPr>
        <w:t xml:space="preserve"> order bilinear groups to construct the multidimensional space. We also use chameleon hash functions to make both true and fake messages convincing.</w:t>
      </w:r>
    </w:p>
    <w:p w:rsidR="008924F3" w:rsidRPr="008924F3" w:rsidRDefault="008924F3" w:rsidP="008924F3">
      <w:pPr>
        <w:spacing w:line="360" w:lineRule="auto"/>
        <w:jc w:val="both"/>
        <w:rPr>
          <w:rFonts w:ascii="Times New Roman" w:hAnsi="Times New Roman" w:cs="Times New Roman"/>
          <w:b/>
          <w:color w:val="231F20"/>
          <w:sz w:val="28"/>
          <w:szCs w:val="28"/>
        </w:rPr>
      </w:pPr>
      <w:r w:rsidRPr="008924F3">
        <w:rPr>
          <w:rFonts w:ascii="Times New Roman" w:hAnsi="Times New Roman" w:cs="Times New Roman"/>
          <w:b/>
          <w:color w:val="231F20"/>
          <w:sz w:val="28"/>
          <w:szCs w:val="28"/>
        </w:rPr>
        <w:t>DISADVANTAGES:</w:t>
      </w:r>
    </w:p>
    <w:p w:rsidR="008924F3" w:rsidRPr="008924F3" w:rsidRDefault="008924F3" w:rsidP="008924F3">
      <w:pPr>
        <w:pStyle w:val="ListParagraph"/>
        <w:numPr>
          <w:ilvl w:val="0"/>
          <w:numId w:val="1"/>
        </w:numPr>
        <w:spacing w:line="360" w:lineRule="auto"/>
        <w:jc w:val="both"/>
        <w:rPr>
          <w:rFonts w:ascii="Times New Roman" w:hAnsi="Times New Roman" w:cs="Times New Roman"/>
          <w:sz w:val="28"/>
          <w:szCs w:val="28"/>
        </w:rPr>
      </w:pPr>
      <w:r w:rsidRPr="008924F3">
        <w:rPr>
          <w:rFonts w:ascii="Times New Roman" w:hAnsi="Times New Roman" w:cs="Times New Roman"/>
          <w:sz w:val="28"/>
          <w:szCs w:val="28"/>
        </w:rPr>
        <w:t>It is also impractical to encrypt data many times for many people. With ABE, data owners decide only which kind of users can access their encrypted data. Users who satisfy the conditions are able to decrypt the encrypted data.</w:t>
      </w:r>
    </w:p>
    <w:p w:rsidR="008924F3" w:rsidRPr="008924F3" w:rsidRDefault="008924F3" w:rsidP="008924F3">
      <w:pPr>
        <w:pStyle w:val="ListParagraph"/>
        <w:numPr>
          <w:ilvl w:val="0"/>
          <w:numId w:val="1"/>
        </w:numPr>
        <w:spacing w:line="360" w:lineRule="auto"/>
        <w:jc w:val="both"/>
        <w:rPr>
          <w:rFonts w:ascii="Times New Roman" w:hAnsi="Times New Roman" w:cs="Times New Roman"/>
          <w:sz w:val="28"/>
          <w:szCs w:val="28"/>
        </w:rPr>
      </w:pPr>
      <w:r w:rsidRPr="008924F3">
        <w:rPr>
          <w:rFonts w:ascii="Times New Roman" w:hAnsi="Times New Roman" w:cs="Times New Roman"/>
          <w:sz w:val="28"/>
          <w:szCs w:val="28"/>
        </w:rPr>
        <w:t xml:space="preserve">Use translucent sets or </w:t>
      </w:r>
      <w:proofErr w:type="spellStart"/>
      <w:r w:rsidRPr="008924F3">
        <w:rPr>
          <w:rFonts w:ascii="Times New Roman" w:hAnsi="Times New Roman" w:cs="Times New Roman"/>
          <w:sz w:val="28"/>
          <w:szCs w:val="28"/>
        </w:rPr>
        <w:t>simulatable</w:t>
      </w:r>
      <w:proofErr w:type="spellEnd"/>
      <w:r w:rsidRPr="008924F3">
        <w:rPr>
          <w:rFonts w:ascii="Times New Roman" w:hAnsi="Times New Roman" w:cs="Times New Roman"/>
          <w:sz w:val="28"/>
          <w:szCs w:val="28"/>
        </w:rPr>
        <w:t xml:space="preserve"> public key systems to implement deniability.</w:t>
      </w:r>
    </w:p>
    <w:p w:rsidR="008924F3" w:rsidRPr="008924F3" w:rsidRDefault="008924F3" w:rsidP="008924F3">
      <w:pPr>
        <w:pStyle w:val="ListParagraph"/>
        <w:numPr>
          <w:ilvl w:val="0"/>
          <w:numId w:val="1"/>
        </w:numPr>
        <w:autoSpaceDE w:val="0"/>
        <w:autoSpaceDN w:val="0"/>
        <w:adjustRightInd w:val="0"/>
        <w:spacing w:after="0" w:line="360" w:lineRule="auto"/>
        <w:jc w:val="both"/>
        <w:rPr>
          <w:rFonts w:ascii="Times New Roman" w:hAnsi="Times New Roman" w:cs="Times New Roman"/>
          <w:color w:val="231F20"/>
          <w:sz w:val="28"/>
          <w:szCs w:val="28"/>
        </w:rPr>
      </w:pPr>
      <w:r w:rsidRPr="008924F3">
        <w:rPr>
          <w:rFonts w:ascii="Times New Roman" w:hAnsi="Times New Roman" w:cs="Times New Roman"/>
          <w:sz w:val="28"/>
          <w:szCs w:val="28"/>
        </w:rPr>
        <w:t>Most deniable public key schemes are bitwise, which means these schemes can only process one bit a time; therefore, bitwise deniable encryption schemes are inefficient for real use, especially in the cloud storage service case.</w:t>
      </w: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color w:val="231F20"/>
          <w:sz w:val="28"/>
          <w:szCs w:val="28"/>
        </w:rPr>
      </w:pPr>
    </w:p>
    <w:p w:rsid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r w:rsidRPr="008924F3">
        <w:rPr>
          <w:rFonts w:ascii="Times New Roman" w:hAnsi="Times New Roman" w:cs="Times New Roman"/>
          <w:b/>
          <w:color w:val="231F20"/>
          <w:sz w:val="28"/>
          <w:szCs w:val="28"/>
        </w:rPr>
        <w:lastRenderedPageBreak/>
        <w:t>PROPOSED SYSTEM</w:t>
      </w:r>
      <w:r>
        <w:rPr>
          <w:rFonts w:ascii="Times New Roman" w:hAnsi="Times New Roman" w:cs="Times New Roman"/>
          <w:b/>
          <w:color w:val="231F20"/>
          <w:sz w:val="28"/>
          <w:szCs w:val="28"/>
        </w:rPr>
        <w:t>:</w:t>
      </w:r>
    </w:p>
    <w:p w:rsidR="008924F3" w:rsidRPr="008924F3" w:rsidRDefault="008924F3" w:rsidP="008924F3">
      <w:pPr>
        <w:spacing w:line="360" w:lineRule="auto"/>
        <w:jc w:val="both"/>
        <w:rPr>
          <w:rFonts w:ascii="Times New Roman" w:hAnsi="Times New Roman" w:cs="Times New Roman"/>
          <w:color w:val="000000" w:themeColor="text1"/>
          <w:sz w:val="28"/>
          <w:szCs w:val="28"/>
        </w:rPr>
      </w:pPr>
      <w:r w:rsidRPr="008924F3">
        <w:rPr>
          <w:rFonts w:ascii="Times New Roman" w:hAnsi="Times New Roman" w:cs="Times New Roman"/>
          <w:color w:val="000000" w:themeColor="text1"/>
          <w:sz w:val="28"/>
          <w:szCs w:val="28"/>
        </w:rPr>
        <w:tab/>
        <w:t xml:space="preserve">Techniques used in previous deniable encryption schemes, we build two encryption environments at the same time, much like the idea proposed in .We build our scheme with multiple dimensions while claiming there is only one dimension. This approach removes obvious redundant parts. We apply this idea to an existing ABE scheme by replacing prime order groups with </w:t>
      </w:r>
      <w:proofErr w:type="gramStart"/>
      <w:r w:rsidRPr="008924F3">
        <w:rPr>
          <w:rFonts w:ascii="Times New Roman" w:hAnsi="Times New Roman" w:cs="Times New Roman"/>
          <w:color w:val="000000" w:themeColor="text1"/>
          <w:sz w:val="28"/>
          <w:szCs w:val="28"/>
        </w:rPr>
        <w:t>composite</w:t>
      </w:r>
      <w:proofErr w:type="gramEnd"/>
      <w:r w:rsidRPr="008924F3">
        <w:rPr>
          <w:rFonts w:ascii="Times New Roman" w:hAnsi="Times New Roman" w:cs="Times New Roman"/>
          <w:color w:val="000000" w:themeColor="text1"/>
          <w:sz w:val="28"/>
          <w:szCs w:val="28"/>
        </w:rPr>
        <w:t xml:space="preserve"> order groups. Since the base ABE scheme can encrypt one block each time, our deniable CPABE is certainly a block wise deniable encryption scheme. Though the bilinear operation for the Composite order group is slower than the prime order group, there are some techniques that can convert an encryption scheme from composite order groups to prime order groups for better computational performance.</w:t>
      </w:r>
    </w:p>
    <w:p w:rsid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p>
    <w:p w:rsid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p>
    <w:p w:rsidR="008924F3" w:rsidRPr="008924F3" w:rsidRDefault="008924F3" w:rsidP="008924F3">
      <w:pPr>
        <w:autoSpaceDE w:val="0"/>
        <w:autoSpaceDN w:val="0"/>
        <w:adjustRightInd w:val="0"/>
        <w:spacing w:after="0" w:line="360" w:lineRule="auto"/>
        <w:jc w:val="both"/>
        <w:rPr>
          <w:rFonts w:ascii="Times New Roman" w:hAnsi="Times New Roman" w:cs="Times New Roman"/>
          <w:b/>
          <w:color w:val="231F20"/>
          <w:sz w:val="28"/>
          <w:szCs w:val="28"/>
        </w:rPr>
      </w:pPr>
      <w:r w:rsidRPr="008924F3">
        <w:rPr>
          <w:rFonts w:ascii="Times New Roman" w:hAnsi="Times New Roman" w:cs="Times New Roman"/>
          <w:b/>
          <w:color w:val="231F20"/>
          <w:sz w:val="28"/>
          <w:szCs w:val="28"/>
        </w:rPr>
        <w:t>ADVANTAGES</w:t>
      </w:r>
      <w:r>
        <w:rPr>
          <w:rFonts w:ascii="Times New Roman" w:hAnsi="Times New Roman" w:cs="Times New Roman"/>
          <w:b/>
          <w:color w:val="231F20"/>
          <w:sz w:val="28"/>
          <w:szCs w:val="28"/>
        </w:rPr>
        <w:t>:</w:t>
      </w:r>
    </w:p>
    <w:p w:rsidR="008924F3" w:rsidRPr="008924F3" w:rsidRDefault="008924F3" w:rsidP="008924F3">
      <w:pPr>
        <w:pStyle w:val="ListParagraph"/>
        <w:numPr>
          <w:ilvl w:val="0"/>
          <w:numId w:val="2"/>
        </w:numPr>
        <w:spacing w:line="360" w:lineRule="auto"/>
        <w:jc w:val="both"/>
        <w:rPr>
          <w:rFonts w:ascii="Times New Roman" w:hAnsi="Times New Roman" w:cs="Times New Roman"/>
          <w:sz w:val="28"/>
          <w:szCs w:val="28"/>
        </w:rPr>
      </w:pPr>
      <w:r w:rsidRPr="008924F3">
        <w:rPr>
          <w:rFonts w:ascii="Times New Roman" w:hAnsi="Times New Roman" w:cs="Times New Roman"/>
          <w:sz w:val="28"/>
          <w:szCs w:val="28"/>
        </w:rPr>
        <w:t xml:space="preserve">Unlike most previous deniable encryption schemes, we do not use translucent sets or </w:t>
      </w:r>
      <w:proofErr w:type="spellStart"/>
      <w:r w:rsidRPr="008924F3">
        <w:rPr>
          <w:rFonts w:ascii="Times New Roman" w:hAnsi="Times New Roman" w:cs="Times New Roman"/>
          <w:sz w:val="28"/>
          <w:szCs w:val="28"/>
        </w:rPr>
        <w:t>simulatable</w:t>
      </w:r>
      <w:proofErr w:type="spellEnd"/>
      <w:r w:rsidRPr="008924F3">
        <w:rPr>
          <w:rFonts w:ascii="Times New Roman" w:hAnsi="Times New Roman" w:cs="Times New Roman"/>
          <w:sz w:val="28"/>
          <w:szCs w:val="28"/>
        </w:rPr>
        <w:t xml:space="preserve"> public key systems to implement deniability. Instead, we adopt the idea proposed with some improvements. We construct our deniable encryption scheme through a multidimensional space. All data are encrypted into the multidimensional space.</w:t>
      </w:r>
    </w:p>
    <w:p w:rsidR="008924F3" w:rsidRDefault="008924F3" w:rsidP="008924F3">
      <w:pPr>
        <w:pStyle w:val="ListParagraph"/>
        <w:numPr>
          <w:ilvl w:val="0"/>
          <w:numId w:val="2"/>
        </w:numPr>
        <w:spacing w:line="360" w:lineRule="auto"/>
        <w:jc w:val="both"/>
        <w:rPr>
          <w:rFonts w:ascii="Times New Roman" w:hAnsi="Times New Roman" w:cs="Times New Roman"/>
          <w:sz w:val="28"/>
          <w:szCs w:val="28"/>
        </w:rPr>
      </w:pPr>
      <w:r w:rsidRPr="008924F3">
        <w:rPr>
          <w:rFonts w:ascii="Times New Roman" w:hAnsi="Times New Roman" w:cs="Times New Roman"/>
          <w:sz w:val="28"/>
          <w:szCs w:val="28"/>
        </w:rPr>
        <w:t>Only with the correct composition of dimensions is the original data obtainable. With false composition, cipher</w:t>
      </w:r>
      <w:r>
        <w:rPr>
          <w:rFonts w:ascii="Times New Roman" w:hAnsi="Times New Roman" w:cs="Times New Roman"/>
          <w:sz w:val="28"/>
          <w:szCs w:val="28"/>
        </w:rPr>
        <w:t xml:space="preserve"> </w:t>
      </w:r>
      <w:r w:rsidRPr="008924F3">
        <w:rPr>
          <w:rFonts w:ascii="Times New Roman" w:hAnsi="Times New Roman" w:cs="Times New Roman"/>
          <w:sz w:val="28"/>
          <w:szCs w:val="28"/>
        </w:rPr>
        <w:t>texts will be decrypted to predetermined fake data. The information defining the dimensions is kept secret. We make use of Composite order bilinear groups to construct the multidimensional space. We also use chameleon hash functions to make both true and fake messages convincing.</w:t>
      </w:r>
    </w:p>
    <w:p w:rsidR="008924F3" w:rsidRDefault="008924F3" w:rsidP="008924F3">
      <w:pPr>
        <w:spacing w:line="360" w:lineRule="auto"/>
        <w:jc w:val="both"/>
        <w:rPr>
          <w:rFonts w:ascii="Times New Roman" w:hAnsi="Times New Roman" w:cs="Times New Roman"/>
          <w:sz w:val="28"/>
          <w:szCs w:val="28"/>
        </w:rPr>
      </w:pPr>
    </w:p>
    <w:p w:rsidR="00F36E73" w:rsidRPr="005B607B" w:rsidRDefault="00F36E73" w:rsidP="00F36E7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F36E73" w:rsidRPr="005B607B" w:rsidRDefault="00F36E73" w:rsidP="00F36E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F36E73" w:rsidRPr="005B607B" w:rsidRDefault="006224C6" w:rsidP="00F36E73">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F36E73" w:rsidRPr="005B607B">
        <w:rPr>
          <w:rFonts w:ascii="Times New Roman" w:hAnsi="Times New Roman" w:cs="Times New Roman"/>
          <w:sz w:val="28"/>
          <w:szCs w:val="28"/>
          <w:lang w:val="en-GB"/>
        </w:rPr>
        <w:t>i3 Processor</w:t>
      </w:r>
    </w:p>
    <w:p w:rsidR="00F36E73" w:rsidRPr="005B607B"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F36E73" w:rsidRPr="005B607B"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F36E73" w:rsidRPr="005B607B"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F36E73" w:rsidRPr="005B607B"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F36E73" w:rsidRPr="005B607B"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F36E73" w:rsidRPr="006F35EF" w:rsidRDefault="00F36E73" w:rsidP="00F36E7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F36E73" w:rsidRPr="005B607B" w:rsidRDefault="00F36E73" w:rsidP="00F36E73">
      <w:pPr>
        <w:spacing w:line="360" w:lineRule="auto"/>
        <w:rPr>
          <w:rFonts w:ascii="Times New Roman" w:hAnsi="Times New Roman" w:cs="Times New Roman"/>
          <w:sz w:val="28"/>
          <w:szCs w:val="28"/>
        </w:rPr>
      </w:pPr>
    </w:p>
    <w:p w:rsidR="00F36E73" w:rsidRPr="006F35EF" w:rsidRDefault="00F36E73" w:rsidP="00F36E7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F36E73" w:rsidRPr="005B607B" w:rsidRDefault="00F36E73" w:rsidP="00F36E7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F36E73" w:rsidRDefault="00F36E73" w:rsidP="00F36E73">
      <w:pPr>
        <w:spacing w:line="360" w:lineRule="auto"/>
        <w:jc w:val="both"/>
        <w:rPr>
          <w:rFonts w:ascii="Times New Roman" w:hAnsi="Times New Roman" w:cs="Times New Roman"/>
          <w:b/>
          <w:bCs/>
          <w:sz w:val="28"/>
          <w:szCs w:val="28"/>
        </w:rPr>
      </w:pPr>
    </w:p>
    <w:p w:rsidR="00F36E73" w:rsidRDefault="00F36E73" w:rsidP="00F36E73">
      <w:pPr>
        <w:spacing w:line="360" w:lineRule="auto"/>
        <w:jc w:val="both"/>
        <w:rPr>
          <w:rFonts w:ascii="Times New Roman" w:hAnsi="Times New Roman" w:cs="Times New Roman"/>
          <w:b/>
          <w:sz w:val="28"/>
          <w:szCs w:val="28"/>
        </w:rPr>
      </w:pPr>
    </w:p>
    <w:p w:rsidR="00F36E73" w:rsidRDefault="00F36E73" w:rsidP="00F36E73">
      <w:pPr>
        <w:spacing w:line="360" w:lineRule="auto"/>
        <w:jc w:val="both"/>
        <w:rPr>
          <w:rFonts w:ascii="Times New Roman" w:hAnsi="Times New Roman" w:cs="Times New Roman"/>
          <w:b/>
          <w:sz w:val="28"/>
          <w:szCs w:val="28"/>
        </w:rPr>
      </w:pPr>
    </w:p>
    <w:p w:rsidR="00F36E73" w:rsidRDefault="00F36E73" w:rsidP="00F36E73">
      <w:pPr>
        <w:spacing w:line="360" w:lineRule="auto"/>
        <w:jc w:val="both"/>
        <w:rPr>
          <w:rFonts w:ascii="Times New Roman" w:hAnsi="Times New Roman" w:cs="Times New Roman"/>
          <w:b/>
          <w:sz w:val="28"/>
          <w:szCs w:val="28"/>
        </w:rPr>
      </w:pPr>
    </w:p>
    <w:p w:rsidR="00F36E73" w:rsidRPr="00212435" w:rsidRDefault="00F36E73" w:rsidP="00F36E73">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F36E73" w:rsidRPr="00F36E73" w:rsidRDefault="00F36E73" w:rsidP="00F36E73">
      <w:pPr>
        <w:spacing w:line="360" w:lineRule="auto"/>
        <w:jc w:val="both"/>
        <w:rPr>
          <w:rFonts w:ascii="Times New Roman" w:hAnsi="Times New Roman" w:cs="Times New Roman"/>
          <w:sz w:val="28"/>
        </w:rPr>
      </w:pPr>
      <w:proofErr w:type="gramStart"/>
      <w:r w:rsidRPr="00F36E73">
        <w:rPr>
          <w:rFonts w:ascii="Times New Roman" w:hAnsi="Times New Roman" w:cs="Times New Roman"/>
          <w:sz w:val="28"/>
        </w:rPr>
        <w:t xml:space="preserve">[1] A. </w:t>
      </w:r>
      <w:proofErr w:type="spellStart"/>
      <w:r w:rsidRPr="00F36E73">
        <w:rPr>
          <w:rFonts w:ascii="Times New Roman" w:hAnsi="Times New Roman" w:cs="Times New Roman"/>
          <w:sz w:val="28"/>
        </w:rPr>
        <w:t>Sahai</w:t>
      </w:r>
      <w:proofErr w:type="spellEnd"/>
      <w:r w:rsidRPr="00F36E73">
        <w:rPr>
          <w:rFonts w:ascii="Times New Roman" w:hAnsi="Times New Roman" w:cs="Times New Roman"/>
          <w:sz w:val="28"/>
        </w:rPr>
        <w:t xml:space="preserve"> and B. Waters, “Fuzzy identity-based encryption,” in </w:t>
      </w:r>
      <w:proofErr w:type="spellStart"/>
      <w:r w:rsidRPr="00F36E73">
        <w:rPr>
          <w:rFonts w:ascii="Times New Roman" w:hAnsi="Times New Roman" w:cs="Times New Roman"/>
          <w:sz w:val="28"/>
        </w:rPr>
        <w:t>Eurocrypt</w:t>
      </w:r>
      <w:proofErr w:type="spellEnd"/>
      <w:r w:rsidRPr="00F36E73">
        <w:rPr>
          <w:rFonts w:ascii="Times New Roman" w:hAnsi="Times New Roman" w:cs="Times New Roman"/>
          <w:sz w:val="28"/>
        </w:rPr>
        <w:t>, 2005, pp. 457–473.</w:t>
      </w:r>
      <w:proofErr w:type="gramEnd"/>
    </w:p>
    <w:p w:rsidR="00F36E73" w:rsidRPr="00F36E73" w:rsidRDefault="00F36E73" w:rsidP="00F36E73">
      <w:pPr>
        <w:spacing w:line="360" w:lineRule="auto"/>
        <w:jc w:val="both"/>
        <w:rPr>
          <w:rFonts w:ascii="Times New Roman" w:hAnsi="Times New Roman" w:cs="Times New Roman"/>
          <w:sz w:val="28"/>
        </w:rPr>
      </w:pPr>
      <w:r w:rsidRPr="00F36E73">
        <w:rPr>
          <w:rFonts w:ascii="Times New Roman" w:hAnsi="Times New Roman" w:cs="Times New Roman"/>
          <w:sz w:val="28"/>
        </w:rPr>
        <w:t xml:space="preserve"> [2] V. </w:t>
      </w:r>
      <w:proofErr w:type="spellStart"/>
      <w:r w:rsidRPr="00F36E73">
        <w:rPr>
          <w:rFonts w:ascii="Times New Roman" w:hAnsi="Times New Roman" w:cs="Times New Roman"/>
          <w:sz w:val="28"/>
        </w:rPr>
        <w:t>Goyal</w:t>
      </w:r>
      <w:proofErr w:type="spellEnd"/>
      <w:r w:rsidRPr="00F36E73">
        <w:rPr>
          <w:rFonts w:ascii="Times New Roman" w:hAnsi="Times New Roman" w:cs="Times New Roman"/>
          <w:sz w:val="28"/>
        </w:rPr>
        <w:t xml:space="preserve">, O. </w:t>
      </w:r>
      <w:proofErr w:type="spellStart"/>
      <w:r w:rsidRPr="00F36E73">
        <w:rPr>
          <w:rFonts w:ascii="Times New Roman" w:hAnsi="Times New Roman" w:cs="Times New Roman"/>
          <w:sz w:val="28"/>
        </w:rPr>
        <w:t>Pandey</w:t>
      </w:r>
      <w:proofErr w:type="spellEnd"/>
      <w:r w:rsidRPr="00F36E73">
        <w:rPr>
          <w:rFonts w:ascii="Times New Roman" w:hAnsi="Times New Roman" w:cs="Times New Roman"/>
          <w:sz w:val="28"/>
        </w:rPr>
        <w:t xml:space="preserve">, A. </w:t>
      </w:r>
      <w:proofErr w:type="spellStart"/>
      <w:r w:rsidRPr="00F36E73">
        <w:rPr>
          <w:rFonts w:ascii="Times New Roman" w:hAnsi="Times New Roman" w:cs="Times New Roman"/>
          <w:sz w:val="28"/>
        </w:rPr>
        <w:t>Sahai</w:t>
      </w:r>
      <w:proofErr w:type="spellEnd"/>
      <w:r w:rsidRPr="00F36E73">
        <w:rPr>
          <w:rFonts w:ascii="Times New Roman" w:hAnsi="Times New Roman" w:cs="Times New Roman"/>
          <w:sz w:val="28"/>
        </w:rPr>
        <w:t xml:space="preserve">, and B. Waters, “Attribute-based encryption for fine-grained access control of encrypted data,” in ACM Conference on Computer and Communications Security, 2006, pp. 89–98. </w:t>
      </w:r>
    </w:p>
    <w:p w:rsidR="00F36E73" w:rsidRPr="00F36E73" w:rsidRDefault="00F36E73" w:rsidP="00F36E73">
      <w:pPr>
        <w:spacing w:line="360" w:lineRule="auto"/>
        <w:jc w:val="both"/>
        <w:rPr>
          <w:rFonts w:ascii="Times New Roman" w:hAnsi="Times New Roman" w:cs="Times New Roman"/>
          <w:sz w:val="28"/>
        </w:rPr>
      </w:pPr>
      <w:r w:rsidRPr="00F36E73">
        <w:rPr>
          <w:rFonts w:ascii="Times New Roman" w:hAnsi="Times New Roman" w:cs="Times New Roman"/>
          <w:sz w:val="28"/>
        </w:rPr>
        <w:t xml:space="preserve">[3] J. </w:t>
      </w:r>
      <w:proofErr w:type="spellStart"/>
      <w:r w:rsidRPr="00F36E73">
        <w:rPr>
          <w:rFonts w:ascii="Times New Roman" w:hAnsi="Times New Roman" w:cs="Times New Roman"/>
          <w:sz w:val="28"/>
        </w:rPr>
        <w:t>Bethencourt</w:t>
      </w:r>
      <w:proofErr w:type="spellEnd"/>
      <w:r w:rsidRPr="00F36E73">
        <w:rPr>
          <w:rFonts w:ascii="Times New Roman" w:hAnsi="Times New Roman" w:cs="Times New Roman"/>
          <w:sz w:val="28"/>
        </w:rPr>
        <w:t xml:space="preserve">, A. </w:t>
      </w:r>
      <w:proofErr w:type="spellStart"/>
      <w:r w:rsidRPr="00F36E73">
        <w:rPr>
          <w:rFonts w:ascii="Times New Roman" w:hAnsi="Times New Roman" w:cs="Times New Roman"/>
          <w:sz w:val="28"/>
        </w:rPr>
        <w:t>Sahai</w:t>
      </w:r>
      <w:proofErr w:type="spellEnd"/>
      <w:r w:rsidRPr="00F36E73">
        <w:rPr>
          <w:rFonts w:ascii="Times New Roman" w:hAnsi="Times New Roman" w:cs="Times New Roman"/>
          <w:sz w:val="28"/>
        </w:rPr>
        <w:t>, and B. Waters, “</w:t>
      </w:r>
      <w:proofErr w:type="spellStart"/>
      <w:r w:rsidRPr="00F36E73">
        <w:rPr>
          <w:rFonts w:ascii="Times New Roman" w:hAnsi="Times New Roman" w:cs="Times New Roman"/>
          <w:sz w:val="28"/>
        </w:rPr>
        <w:t>Ciphertext</w:t>
      </w:r>
      <w:proofErr w:type="spellEnd"/>
      <w:r w:rsidRPr="00F36E73">
        <w:rPr>
          <w:rFonts w:ascii="Times New Roman" w:hAnsi="Times New Roman" w:cs="Times New Roman"/>
          <w:sz w:val="28"/>
        </w:rPr>
        <w:t xml:space="preserve">-policy attribute-based encryption,” in IEEE Symposium on Security and Privacy, 2007, pp. 321–334. </w:t>
      </w:r>
    </w:p>
    <w:p w:rsidR="00F36E73" w:rsidRPr="00F36E73" w:rsidRDefault="00F36E73" w:rsidP="00F36E73">
      <w:pPr>
        <w:spacing w:line="360" w:lineRule="auto"/>
        <w:jc w:val="both"/>
        <w:rPr>
          <w:rFonts w:ascii="Times New Roman" w:hAnsi="Times New Roman" w:cs="Times New Roman"/>
          <w:sz w:val="28"/>
        </w:rPr>
      </w:pPr>
      <w:r w:rsidRPr="00F36E73">
        <w:rPr>
          <w:rFonts w:ascii="Times New Roman" w:hAnsi="Times New Roman" w:cs="Times New Roman"/>
          <w:sz w:val="28"/>
        </w:rPr>
        <w:t>[4] B. Waters, “</w:t>
      </w:r>
      <w:proofErr w:type="spellStart"/>
      <w:r w:rsidRPr="00F36E73">
        <w:rPr>
          <w:rFonts w:ascii="Times New Roman" w:hAnsi="Times New Roman" w:cs="Times New Roman"/>
          <w:sz w:val="28"/>
        </w:rPr>
        <w:t>Ciphertext</w:t>
      </w:r>
      <w:proofErr w:type="spellEnd"/>
      <w:r w:rsidRPr="00F36E73">
        <w:rPr>
          <w:rFonts w:ascii="Times New Roman" w:hAnsi="Times New Roman" w:cs="Times New Roman"/>
          <w:sz w:val="28"/>
        </w:rPr>
        <w:t xml:space="preserve">-policy attribute-based encryption: An expressive, efficient, and provably secure realization,” in Public Key Cryptography, 2011, pp. 53–70. </w:t>
      </w:r>
    </w:p>
    <w:p w:rsidR="008924F3" w:rsidRPr="00F36E73" w:rsidRDefault="00F36E73" w:rsidP="00F36E73">
      <w:pPr>
        <w:spacing w:line="360" w:lineRule="auto"/>
        <w:jc w:val="both"/>
        <w:rPr>
          <w:rFonts w:ascii="Times New Roman" w:hAnsi="Times New Roman" w:cs="Times New Roman"/>
          <w:sz w:val="36"/>
          <w:szCs w:val="28"/>
        </w:rPr>
      </w:pPr>
      <w:proofErr w:type="gramStart"/>
      <w:r w:rsidRPr="00F36E73">
        <w:rPr>
          <w:rFonts w:ascii="Times New Roman" w:hAnsi="Times New Roman" w:cs="Times New Roman"/>
          <w:sz w:val="28"/>
        </w:rPr>
        <w:t xml:space="preserve">[5] A. </w:t>
      </w:r>
      <w:proofErr w:type="spellStart"/>
      <w:r w:rsidRPr="00F36E73">
        <w:rPr>
          <w:rFonts w:ascii="Times New Roman" w:hAnsi="Times New Roman" w:cs="Times New Roman"/>
          <w:sz w:val="28"/>
        </w:rPr>
        <w:t>Sahai</w:t>
      </w:r>
      <w:proofErr w:type="spellEnd"/>
      <w:r w:rsidRPr="00F36E73">
        <w:rPr>
          <w:rFonts w:ascii="Times New Roman" w:hAnsi="Times New Roman" w:cs="Times New Roman"/>
          <w:sz w:val="28"/>
        </w:rPr>
        <w:t xml:space="preserve">, H. </w:t>
      </w:r>
      <w:proofErr w:type="spellStart"/>
      <w:r w:rsidRPr="00F36E73">
        <w:rPr>
          <w:rFonts w:ascii="Times New Roman" w:hAnsi="Times New Roman" w:cs="Times New Roman"/>
          <w:sz w:val="28"/>
        </w:rPr>
        <w:t>Seyalioglu</w:t>
      </w:r>
      <w:proofErr w:type="spellEnd"/>
      <w:r w:rsidRPr="00F36E73">
        <w:rPr>
          <w:rFonts w:ascii="Times New Roman" w:hAnsi="Times New Roman" w:cs="Times New Roman"/>
          <w:sz w:val="28"/>
        </w:rPr>
        <w:t xml:space="preserve">, and B. Waters, “Dynamic credentials and </w:t>
      </w:r>
      <w:proofErr w:type="spellStart"/>
      <w:r w:rsidRPr="00F36E73">
        <w:rPr>
          <w:rFonts w:ascii="Times New Roman" w:hAnsi="Times New Roman" w:cs="Times New Roman"/>
          <w:sz w:val="28"/>
        </w:rPr>
        <w:t>ciphertext</w:t>
      </w:r>
      <w:proofErr w:type="spellEnd"/>
      <w:r w:rsidRPr="00F36E73">
        <w:rPr>
          <w:rFonts w:ascii="Times New Roman" w:hAnsi="Times New Roman" w:cs="Times New Roman"/>
          <w:sz w:val="28"/>
        </w:rPr>
        <w:t xml:space="preserve"> delegation for attribute-based encryption,” in Crypto, 2012, pp. 199–217.</w:t>
      </w:r>
      <w:proofErr w:type="gramEnd"/>
    </w:p>
    <w:p w:rsidR="008924F3" w:rsidRPr="008924F3" w:rsidRDefault="008924F3" w:rsidP="008924F3">
      <w:pPr>
        <w:pStyle w:val="ListParagraph"/>
        <w:spacing w:line="360" w:lineRule="auto"/>
        <w:jc w:val="both"/>
        <w:rPr>
          <w:rFonts w:ascii="Times New Roman" w:hAnsi="Times New Roman" w:cs="Times New Roman"/>
          <w:sz w:val="28"/>
          <w:szCs w:val="28"/>
        </w:rPr>
      </w:pPr>
    </w:p>
    <w:p w:rsidR="007E3FFB" w:rsidRPr="008924F3" w:rsidRDefault="006224C6" w:rsidP="008924F3">
      <w:pPr>
        <w:spacing w:line="360" w:lineRule="auto"/>
        <w:jc w:val="both"/>
        <w:rPr>
          <w:rFonts w:ascii="Times New Roman" w:hAnsi="Times New Roman" w:cs="Times New Roman"/>
          <w:sz w:val="28"/>
          <w:szCs w:val="28"/>
        </w:rPr>
      </w:pPr>
    </w:p>
    <w:sectPr w:rsidR="007E3FFB" w:rsidRPr="008924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D4AD3"/>
    <w:multiLevelType w:val="hybridMultilevel"/>
    <w:tmpl w:val="76F8A6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1B1431"/>
    <w:multiLevelType w:val="hybridMultilevel"/>
    <w:tmpl w:val="7C16B3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4F3"/>
    <w:rsid w:val="004C433F"/>
    <w:rsid w:val="006224C6"/>
    <w:rsid w:val="008924F3"/>
    <w:rsid w:val="00D52000"/>
    <w:rsid w:val="00F36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4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4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4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827</Words>
  <Characters>4717</Characters>
  <Application>Microsoft Office Word</Application>
  <DocSecurity>0</DocSecurity>
  <Lines>39</Lines>
  <Paragraphs>11</Paragraphs>
  <ScaleCrop>false</ScaleCrop>
  <Company/>
  <LinksUpToDate>false</LinksUpToDate>
  <CharactersWithSpaces>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2021-10-05T06:40:00Z</dcterms:created>
  <dcterms:modified xsi:type="dcterms:W3CDTF">2021-10-20T12:56:00Z</dcterms:modified>
</cp:coreProperties>
</file>