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6D2" w:rsidRDefault="00E257C4" w:rsidP="00E257C4">
      <w:pPr>
        <w:spacing w:line="360" w:lineRule="auto"/>
        <w:jc w:val="center"/>
        <w:rPr>
          <w:rFonts w:ascii="Times New Roman" w:hAnsi="Times New Roman" w:cs="Times New Roman"/>
          <w:b/>
          <w:sz w:val="32"/>
          <w:szCs w:val="32"/>
        </w:rPr>
      </w:pPr>
      <w:r w:rsidRPr="00E257C4">
        <w:rPr>
          <w:rFonts w:ascii="Times New Roman" w:hAnsi="Times New Roman" w:cs="Times New Roman"/>
          <w:b/>
          <w:sz w:val="32"/>
          <w:szCs w:val="32"/>
        </w:rPr>
        <w:t>SCALABLE AND QOS-AWARE RESOURCE ALLOCATION TO HETEROGENEOUS TRAFFIC FLOWS IN 5G</w:t>
      </w:r>
    </w:p>
    <w:p w:rsidR="00E257C4" w:rsidRDefault="00E257C4" w:rsidP="00E257C4">
      <w:pPr>
        <w:spacing w:line="360" w:lineRule="auto"/>
        <w:rPr>
          <w:rFonts w:ascii="Times New Roman" w:hAnsi="Times New Roman" w:cs="Times New Roman"/>
          <w:b/>
          <w:sz w:val="32"/>
          <w:szCs w:val="32"/>
        </w:rPr>
      </w:pPr>
    </w:p>
    <w:p w:rsidR="00E257C4" w:rsidRPr="00E257C4" w:rsidRDefault="00E257C4" w:rsidP="00E257C4">
      <w:pPr>
        <w:spacing w:line="360" w:lineRule="auto"/>
        <w:jc w:val="both"/>
        <w:rPr>
          <w:rFonts w:ascii="Times New Roman" w:hAnsi="Times New Roman" w:cs="Times New Roman"/>
          <w:b/>
          <w:sz w:val="28"/>
          <w:szCs w:val="28"/>
        </w:rPr>
      </w:pPr>
      <w:r w:rsidRPr="00E257C4">
        <w:rPr>
          <w:rFonts w:ascii="Times New Roman" w:hAnsi="Times New Roman" w:cs="Times New Roman"/>
          <w:b/>
          <w:sz w:val="28"/>
          <w:szCs w:val="28"/>
        </w:rPr>
        <w:t>ABSTRACT:</w:t>
      </w:r>
    </w:p>
    <w:p w:rsidR="00E257C4" w:rsidRDefault="00E257C4" w:rsidP="00E257C4">
      <w:pPr>
        <w:spacing w:line="360" w:lineRule="auto"/>
        <w:ind w:firstLine="720"/>
        <w:jc w:val="both"/>
        <w:rPr>
          <w:rFonts w:ascii="Times New Roman" w:hAnsi="Times New Roman" w:cs="Times New Roman"/>
          <w:sz w:val="28"/>
          <w:szCs w:val="28"/>
        </w:rPr>
      </w:pPr>
      <w:r w:rsidRPr="00E257C4">
        <w:rPr>
          <w:rFonts w:ascii="Times New Roman" w:hAnsi="Times New Roman" w:cs="Times New Roman"/>
          <w:sz w:val="28"/>
          <w:szCs w:val="28"/>
        </w:rPr>
        <w:t>Networks of new generations are increasingly involved in transporting heterogeneous flows. Indeed, in addition to the usual data and multimedia traffic, the Internet of Things (IoT) smart applications are creating new traffic types and relationships involving billions of active nodes like sensors and actuators. This traffic raises a problem of scale, particularly for resource management and decision-making mechanisms. The present work addresses for the first time the joint problem of mapping heterogeneous flows from multiple users and applications to transport blocks, and then packing these blocks into the rectangular grid of time-frequency resources within a flexible 5G new radio frame. Our solution is based on a quality-of-service-based classification of flows followed by an offline construction of two databases. The first one enumerates all possible configurations of transport blocks, and the second enumerates all possible configurations of frames. Thus, the sole online processing that remains to be done is to find the optimal block configurations that satisfy a given request vector. Hence, the resolution of this complex joint mapping and packing problem is reduced to a simple resolution of a linear problem which consists in finding the best configurations. A thorough numerical study shows that our configuration-based solution can map, within few tens of milliseconds, more than 100 flow connections to transport blocks incurring only 3% of over</w:t>
      </w:r>
      <w:r w:rsidR="0026374D">
        <w:rPr>
          <w:rFonts w:ascii="Times New Roman" w:hAnsi="Times New Roman" w:cs="Times New Roman"/>
          <w:sz w:val="28"/>
          <w:szCs w:val="28"/>
        </w:rPr>
        <w:t xml:space="preserve"> </w:t>
      </w:r>
      <w:r w:rsidRPr="00E257C4">
        <w:rPr>
          <w:rFonts w:ascii="Times New Roman" w:hAnsi="Times New Roman" w:cs="Times New Roman"/>
          <w:sz w:val="28"/>
          <w:szCs w:val="28"/>
        </w:rPr>
        <w:t>allocation, and then pack these blocks into the grid leading to an upper bound on the optimality gap as low as 2.8%.</w:t>
      </w:r>
    </w:p>
    <w:p w:rsidR="009563F1" w:rsidRDefault="009563F1" w:rsidP="009563F1">
      <w:pPr>
        <w:spacing w:line="360" w:lineRule="auto"/>
        <w:jc w:val="both"/>
        <w:rPr>
          <w:rFonts w:ascii="Times New Roman" w:hAnsi="Times New Roman" w:cs="Times New Roman"/>
          <w:b/>
          <w:sz w:val="28"/>
          <w:szCs w:val="28"/>
        </w:rPr>
      </w:pPr>
      <w:r w:rsidRPr="009563F1">
        <w:rPr>
          <w:rFonts w:ascii="Times New Roman" w:hAnsi="Times New Roman" w:cs="Times New Roman"/>
          <w:b/>
          <w:sz w:val="28"/>
          <w:szCs w:val="28"/>
        </w:rPr>
        <w:lastRenderedPageBreak/>
        <w:t>EXISTING SYSTEM:</w:t>
      </w:r>
    </w:p>
    <w:p w:rsidR="009563F1" w:rsidRDefault="009563F1" w:rsidP="009563F1">
      <w:pPr>
        <w:spacing w:line="360" w:lineRule="auto"/>
        <w:jc w:val="both"/>
        <w:rPr>
          <w:rFonts w:ascii="Times New Roman" w:hAnsi="Times New Roman" w:cs="Times New Roman"/>
          <w:sz w:val="28"/>
        </w:rPr>
      </w:pPr>
      <w:r>
        <w:rPr>
          <w:rFonts w:ascii="Times New Roman" w:hAnsi="Times New Roman" w:cs="Times New Roman"/>
          <w:sz w:val="28"/>
          <w:szCs w:val="28"/>
        </w:rPr>
        <w:tab/>
      </w:r>
      <w:r w:rsidRPr="009563F1">
        <w:rPr>
          <w:rFonts w:ascii="Times New Roman" w:hAnsi="Times New Roman" w:cs="Times New Roman"/>
          <w:sz w:val="28"/>
        </w:rPr>
        <w:t xml:space="preserve">In existing, many optimization metrics have been outlined and the general observation made by the authors underlines the high computational complexity of the majority of the proposals. The coexistence of eMBB and URLLC services has generated the most interest in previous work dealing </w:t>
      </w:r>
      <w:r>
        <w:rPr>
          <w:rFonts w:ascii="Times New Roman" w:hAnsi="Times New Roman" w:cs="Times New Roman"/>
          <w:sz w:val="28"/>
        </w:rPr>
        <w:t>with heterogeneous flows. In</w:t>
      </w:r>
      <w:r w:rsidRPr="009563F1">
        <w:rPr>
          <w:rFonts w:ascii="Times New Roman" w:hAnsi="Times New Roman" w:cs="Times New Roman"/>
          <w:sz w:val="28"/>
        </w:rPr>
        <w:t>, three solutions for the coexistence problem have been described. First, dynamic scheduling offers the best cost and resource efficiency, but requires the careful handling of the very different traffic profiles and QoS requirements. Finally, the puncturing/superposition technique, which has inspired the greatest interest, allows URLLC flows to overwrite the eMBB blocks, which should push the affected flows to find the necessary means to report and correct any errors. In this section, a different classification approach will be used based on the number of dimensions used for resource optimization. Therefore, the 1D and the 2D categories are defined. The one-dimensional (1D) category emphasizes the coexistence of eMBB and URLLC/MCC services and considers that the key parameter describing a unit of resource belongs to the time domain, namely a time slot for the eMBB services and a mini-slot</w:t>
      </w:r>
      <w:r>
        <w:rPr>
          <w:rFonts w:ascii="Times New Roman" w:hAnsi="Times New Roman" w:cs="Times New Roman"/>
          <w:sz w:val="28"/>
        </w:rPr>
        <w:t xml:space="preserve"> for the URLLC services. In</w:t>
      </w:r>
      <w:r w:rsidRPr="009563F1">
        <w:rPr>
          <w:rFonts w:ascii="Times New Roman" w:hAnsi="Times New Roman" w:cs="Times New Roman"/>
          <w:sz w:val="28"/>
        </w:rPr>
        <w:t xml:space="preserve">, </w:t>
      </w:r>
      <w:r>
        <w:rPr>
          <w:rFonts w:ascii="Times New Roman" w:hAnsi="Times New Roman" w:cs="Times New Roman"/>
          <w:sz w:val="28"/>
        </w:rPr>
        <w:t>u</w:t>
      </w:r>
      <w:r w:rsidRPr="009563F1">
        <w:rPr>
          <w:rFonts w:ascii="Times New Roman" w:hAnsi="Times New Roman" w:cs="Times New Roman"/>
          <w:sz w:val="28"/>
        </w:rPr>
        <w:t>sed a model-based approach and proposed linear, convex, and threshold models to capture the eMBB rate loss. Then, they used a gradient-based algorithm to optimize the puncturing placement policies.</w:t>
      </w:r>
    </w:p>
    <w:p w:rsidR="009563F1" w:rsidRDefault="009563F1" w:rsidP="009563F1">
      <w:pPr>
        <w:spacing w:line="360" w:lineRule="auto"/>
        <w:jc w:val="both"/>
        <w:rPr>
          <w:rFonts w:ascii="Times New Roman" w:hAnsi="Times New Roman" w:cs="Times New Roman"/>
          <w:sz w:val="28"/>
        </w:rPr>
      </w:pPr>
      <w:r>
        <w:rPr>
          <w:rFonts w:ascii="Times New Roman" w:hAnsi="Times New Roman" w:cs="Times New Roman"/>
          <w:sz w:val="28"/>
        </w:rPr>
        <w:t>DISADVANTAGES:</w:t>
      </w:r>
    </w:p>
    <w:p w:rsidR="009563F1" w:rsidRPr="009563F1" w:rsidRDefault="004E5347" w:rsidP="009563F1">
      <w:pPr>
        <w:pStyle w:val="ListParagraph"/>
        <w:numPr>
          <w:ilvl w:val="0"/>
          <w:numId w:val="1"/>
        </w:numPr>
        <w:spacing w:line="360" w:lineRule="auto"/>
        <w:jc w:val="both"/>
        <w:rPr>
          <w:rFonts w:ascii="Times New Roman" w:hAnsi="Times New Roman" w:cs="Times New Roman"/>
          <w:sz w:val="36"/>
          <w:szCs w:val="28"/>
        </w:rPr>
      </w:pPr>
      <w:r>
        <w:rPr>
          <w:rFonts w:ascii="Times New Roman" w:hAnsi="Times New Roman" w:cs="Times New Roman"/>
          <w:sz w:val="28"/>
        </w:rPr>
        <w:t>D</w:t>
      </w:r>
      <w:r w:rsidR="009563F1" w:rsidRPr="009563F1">
        <w:rPr>
          <w:rFonts w:ascii="Times New Roman" w:hAnsi="Times New Roman" w:cs="Times New Roman"/>
          <w:sz w:val="28"/>
        </w:rPr>
        <w:t>ynamic scheduling offers the best cost and resource efficiency, but requires the careful handling of the very different traffic profiles and QoS requirements</w:t>
      </w:r>
    </w:p>
    <w:p w:rsidR="009563F1" w:rsidRPr="00B736D2" w:rsidRDefault="009563F1" w:rsidP="009563F1">
      <w:pPr>
        <w:pStyle w:val="ListParagraph"/>
        <w:numPr>
          <w:ilvl w:val="0"/>
          <w:numId w:val="1"/>
        </w:numPr>
        <w:spacing w:line="360" w:lineRule="auto"/>
        <w:jc w:val="both"/>
        <w:rPr>
          <w:rFonts w:ascii="Times New Roman" w:hAnsi="Times New Roman" w:cs="Times New Roman"/>
          <w:sz w:val="36"/>
          <w:szCs w:val="28"/>
        </w:rPr>
      </w:pPr>
      <w:r>
        <w:rPr>
          <w:rFonts w:ascii="Times New Roman" w:hAnsi="Times New Roman" w:cs="Times New Roman"/>
          <w:sz w:val="28"/>
        </w:rPr>
        <w:t>T</w:t>
      </w:r>
      <w:r w:rsidRPr="009563F1">
        <w:rPr>
          <w:rFonts w:ascii="Times New Roman" w:hAnsi="Times New Roman" w:cs="Times New Roman"/>
          <w:sz w:val="28"/>
        </w:rPr>
        <w:t>he 1D and the 2D categories are defined</w:t>
      </w:r>
      <w:r>
        <w:rPr>
          <w:rFonts w:ascii="Times New Roman" w:hAnsi="Times New Roman" w:cs="Times New Roman"/>
          <w:sz w:val="28"/>
        </w:rPr>
        <w:t>.</w:t>
      </w:r>
    </w:p>
    <w:p w:rsidR="00B736D2" w:rsidRPr="00AA1BB3" w:rsidRDefault="00B736D2" w:rsidP="00B736D2">
      <w:pPr>
        <w:spacing w:line="360" w:lineRule="auto"/>
        <w:jc w:val="both"/>
        <w:rPr>
          <w:rFonts w:ascii="Times New Roman" w:hAnsi="Times New Roman" w:cs="Times New Roman"/>
          <w:b/>
          <w:sz w:val="28"/>
          <w:szCs w:val="28"/>
        </w:rPr>
      </w:pPr>
      <w:r w:rsidRPr="00AA1BB3">
        <w:rPr>
          <w:rFonts w:ascii="Times New Roman" w:hAnsi="Times New Roman" w:cs="Times New Roman"/>
          <w:b/>
          <w:sz w:val="28"/>
          <w:szCs w:val="28"/>
        </w:rPr>
        <w:lastRenderedPageBreak/>
        <w:t>PROPOSED SYSTEM:</w:t>
      </w:r>
    </w:p>
    <w:p w:rsidR="00B736D2" w:rsidRDefault="00B736D2" w:rsidP="00B736D2">
      <w:pPr>
        <w:spacing w:line="360" w:lineRule="auto"/>
        <w:jc w:val="both"/>
        <w:rPr>
          <w:rFonts w:ascii="Times New Roman" w:hAnsi="Times New Roman" w:cs="Times New Roman"/>
          <w:sz w:val="28"/>
        </w:rPr>
      </w:pPr>
      <w:r>
        <w:rPr>
          <w:rFonts w:ascii="Times New Roman" w:hAnsi="Times New Roman" w:cs="Times New Roman"/>
          <w:sz w:val="28"/>
          <w:szCs w:val="28"/>
        </w:rPr>
        <w:tab/>
      </w:r>
      <w:r w:rsidRPr="00B736D2">
        <w:rPr>
          <w:rFonts w:ascii="Times New Roman" w:hAnsi="Times New Roman" w:cs="Times New Roman"/>
          <w:sz w:val="28"/>
        </w:rPr>
        <w:t>Proposing a realistic and standard-compliant architecture for transporting heterogeneous flows from several sources and applications, including sensors and actuators in IoT applications, with different QoS requirements according to the 5G QoS model. Then, the problem is described of jointly mapping the differentiated QoS flows to transport blocks, and packing these blocks into the rectangular time-frequency resource grid. Providing a carefully structured mathematical formulation of this problem with the objective of minimizing the overall capacity of the scheduled but not packed transport blocks, and under QoS, capacity and geometrical constraints. Then, two techniques are proposed of decomposition of this joint problem. The first is based on Lagrangian relaxation and requires an iterative solving procedure, while the second is rather intuitive and requires a sequential solving procedure. Proposing a configuration-based resolution method that handles most of the processing offline. The proposed approach uses the same fundamental principles of QoS architectures, namely the differentiation of flows and the classification of services. Thus, it should fit easily within the 5G QoS model initially adopted. Supported by intensive numerical computations, recommendations are given for an efficient classification of blocks of resources and the quality of the solution provided by the suggested algorithm is compared to the exact solution.</w:t>
      </w:r>
    </w:p>
    <w:p w:rsidR="00B736D2" w:rsidRPr="00AA1BB3" w:rsidRDefault="00B736D2" w:rsidP="00B736D2">
      <w:pPr>
        <w:spacing w:line="360" w:lineRule="auto"/>
        <w:jc w:val="both"/>
        <w:rPr>
          <w:rFonts w:ascii="Times New Roman" w:hAnsi="Times New Roman" w:cs="Times New Roman"/>
          <w:b/>
          <w:sz w:val="28"/>
        </w:rPr>
      </w:pPr>
      <w:r w:rsidRPr="00AA1BB3">
        <w:rPr>
          <w:rFonts w:ascii="Times New Roman" w:hAnsi="Times New Roman" w:cs="Times New Roman"/>
          <w:b/>
          <w:sz w:val="28"/>
        </w:rPr>
        <w:t>ADVANTAGES:</w:t>
      </w:r>
    </w:p>
    <w:p w:rsidR="00B736D2" w:rsidRPr="00072EE0" w:rsidRDefault="00B736D2" w:rsidP="00B736D2">
      <w:pPr>
        <w:pStyle w:val="ListParagraph"/>
        <w:numPr>
          <w:ilvl w:val="0"/>
          <w:numId w:val="2"/>
        </w:numPr>
        <w:spacing w:line="360" w:lineRule="auto"/>
        <w:jc w:val="both"/>
        <w:rPr>
          <w:rFonts w:ascii="Times New Roman" w:hAnsi="Times New Roman" w:cs="Times New Roman"/>
          <w:sz w:val="36"/>
          <w:szCs w:val="28"/>
        </w:rPr>
      </w:pPr>
      <w:r w:rsidRPr="00B736D2">
        <w:rPr>
          <w:rFonts w:ascii="Times New Roman" w:hAnsi="Times New Roman" w:cs="Times New Roman"/>
          <w:sz w:val="28"/>
        </w:rPr>
        <w:t>Proposing a configuration-based resolution method that handles most of the processing offline.</w:t>
      </w:r>
    </w:p>
    <w:p w:rsidR="00072EE0" w:rsidRPr="00AA1BB3" w:rsidRDefault="00072EE0" w:rsidP="00B736D2">
      <w:pPr>
        <w:pStyle w:val="ListParagraph"/>
        <w:numPr>
          <w:ilvl w:val="0"/>
          <w:numId w:val="2"/>
        </w:numPr>
        <w:spacing w:line="360" w:lineRule="auto"/>
        <w:jc w:val="both"/>
        <w:rPr>
          <w:rFonts w:ascii="Times New Roman" w:hAnsi="Times New Roman" w:cs="Times New Roman"/>
          <w:sz w:val="36"/>
          <w:szCs w:val="28"/>
        </w:rPr>
      </w:pPr>
      <w:r w:rsidRPr="00B736D2">
        <w:rPr>
          <w:rFonts w:ascii="Times New Roman" w:hAnsi="Times New Roman" w:cs="Times New Roman"/>
          <w:sz w:val="28"/>
        </w:rPr>
        <w:t>Thus, it should fit easily within the 5G QoS model initially adopted.</w:t>
      </w:r>
    </w:p>
    <w:p w:rsidR="00AA1BB3" w:rsidRDefault="00AA1BB3" w:rsidP="00AA1BB3">
      <w:pPr>
        <w:spacing w:line="360" w:lineRule="auto"/>
        <w:jc w:val="both"/>
        <w:rPr>
          <w:rFonts w:ascii="Times New Roman" w:hAnsi="Times New Roman" w:cs="Times New Roman"/>
          <w:sz w:val="28"/>
          <w:szCs w:val="28"/>
        </w:rPr>
      </w:pPr>
    </w:p>
    <w:p w:rsidR="00FB228D" w:rsidRPr="005B607B" w:rsidRDefault="00FB228D" w:rsidP="00FB228D">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FB228D" w:rsidRPr="005B607B" w:rsidRDefault="00FB228D" w:rsidP="00FB228D">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FB228D" w:rsidRPr="005B607B" w:rsidRDefault="00F05152" w:rsidP="00FB228D">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FB228D" w:rsidRPr="005B607B">
        <w:rPr>
          <w:rFonts w:ascii="Times New Roman" w:hAnsi="Times New Roman" w:cs="Times New Roman"/>
          <w:sz w:val="28"/>
          <w:szCs w:val="28"/>
          <w:lang w:val="en-GB"/>
        </w:rPr>
        <w:t>i3 Processor</w:t>
      </w:r>
    </w:p>
    <w:p w:rsidR="00FB228D" w:rsidRPr="005B607B" w:rsidRDefault="00FB228D" w:rsidP="00FB228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FB228D" w:rsidRPr="005B607B" w:rsidRDefault="00FB228D" w:rsidP="00FB228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FB228D" w:rsidRPr="005B607B" w:rsidRDefault="00FB228D" w:rsidP="00FB228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FB228D" w:rsidRPr="005B607B" w:rsidRDefault="00FB228D" w:rsidP="00FB228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FB228D" w:rsidRPr="005B607B" w:rsidRDefault="00FB228D" w:rsidP="00FB228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FB228D" w:rsidRPr="006F35EF" w:rsidRDefault="00FB228D" w:rsidP="00FB228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FB228D" w:rsidRPr="005B607B" w:rsidRDefault="00FB228D" w:rsidP="00FB228D">
      <w:pPr>
        <w:spacing w:line="360" w:lineRule="auto"/>
        <w:rPr>
          <w:rFonts w:ascii="Times New Roman" w:hAnsi="Times New Roman" w:cs="Times New Roman"/>
          <w:sz w:val="28"/>
          <w:szCs w:val="28"/>
        </w:rPr>
      </w:pPr>
    </w:p>
    <w:p w:rsidR="00FB228D" w:rsidRPr="006F35EF" w:rsidRDefault="00FB228D" w:rsidP="00FB228D">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FB228D" w:rsidRPr="005B607B" w:rsidRDefault="00FB228D" w:rsidP="00FB228D">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FB228D" w:rsidRPr="005B607B" w:rsidRDefault="00FB228D" w:rsidP="00FB228D">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FB228D" w:rsidRPr="005B607B" w:rsidRDefault="00FB228D" w:rsidP="00FB228D">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FB228D" w:rsidRPr="005B607B" w:rsidRDefault="00FB228D" w:rsidP="00FB228D">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FB228D" w:rsidRPr="005B607B" w:rsidRDefault="00FB228D" w:rsidP="00FB228D">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FB228D" w:rsidRPr="005B607B" w:rsidRDefault="00FB228D" w:rsidP="00FB228D">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FB228D" w:rsidRPr="005B607B" w:rsidRDefault="00FB228D" w:rsidP="00FB228D">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FB228D" w:rsidRPr="005B607B" w:rsidRDefault="00FB228D" w:rsidP="00FB228D">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FB228D" w:rsidRDefault="00FB228D" w:rsidP="00FB228D">
      <w:pPr>
        <w:spacing w:line="360" w:lineRule="auto"/>
        <w:jc w:val="both"/>
        <w:rPr>
          <w:rFonts w:ascii="Times New Roman" w:hAnsi="Times New Roman" w:cs="Times New Roman"/>
          <w:b/>
          <w:bCs/>
          <w:sz w:val="28"/>
          <w:szCs w:val="28"/>
        </w:rPr>
      </w:pPr>
    </w:p>
    <w:p w:rsidR="00FB228D" w:rsidRDefault="00FB228D" w:rsidP="00FB228D">
      <w:pPr>
        <w:spacing w:line="360" w:lineRule="auto"/>
        <w:jc w:val="both"/>
        <w:rPr>
          <w:rFonts w:ascii="Times New Roman" w:hAnsi="Times New Roman" w:cs="Times New Roman"/>
          <w:b/>
          <w:sz w:val="28"/>
          <w:szCs w:val="28"/>
        </w:rPr>
      </w:pPr>
    </w:p>
    <w:p w:rsidR="00FB228D" w:rsidRDefault="00FB228D" w:rsidP="00FB228D">
      <w:pPr>
        <w:spacing w:line="360" w:lineRule="auto"/>
        <w:jc w:val="both"/>
        <w:rPr>
          <w:rFonts w:ascii="Times New Roman" w:hAnsi="Times New Roman" w:cs="Times New Roman"/>
          <w:b/>
          <w:sz w:val="28"/>
          <w:szCs w:val="28"/>
        </w:rPr>
      </w:pPr>
    </w:p>
    <w:p w:rsidR="00FB228D" w:rsidRDefault="00FB228D" w:rsidP="00FB228D">
      <w:pPr>
        <w:spacing w:line="360" w:lineRule="auto"/>
        <w:jc w:val="both"/>
        <w:rPr>
          <w:rFonts w:ascii="Times New Roman" w:hAnsi="Times New Roman" w:cs="Times New Roman"/>
          <w:b/>
          <w:sz w:val="28"/>
          <w:szCs w:val="28"/>
        </w:rPr>
      </w:pPr>
    </w:p>
    <w:p w:rsidR="00FB228D" w:rsidRPr="00212435" w:rsidRDefault="00FB228D" w:rsidP="00FB228D">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FB228D" w:rsidRPr="00FB228D" w:rsidRDefault="00FB228D" w:rsidP="00AA1BB3">
      <w:pPr>
        <w:spacing w:line="360" w:lineRule="auto"/>
        <w:jc w:val="both"/>
        <w:rPr>
          <w:rFonts w:ascii="Times New Roman" w:hAnsi="Times New Roman" w:cs="Times New Roman"/>
          <w:sz w:val="28"/>
          <w:szCs w:val="28"/>
        </w:rPr>
      </w:pPr>
      <w:r w:rsidRPr="00FB228D">
        <w:rPr>
          <w:rFonts w:ascii="Times New Roman" w:hAnsi="Times New Roman" w:cs="Times New Roman"/>
          <w:sz w:val="28"/>
          <w:szCs w:val="28"/>
        </w:rPr>
        <w:t>[1] L. D. Xu, W. He, and S. Li, “Internet of things in industries: A survey,” IEEE Transactions on Industrial Informatics, vol. 10, no. 4, pp. 2233– 2243, Nov 2014.</w:t>
      </w:r>
    </w:p>
    <w:p w:rsidR="00FB228D" w:rsidRPr="00FB228D" w:rsidRDefault="00FB228D" w:rsidP="00AA1BB3">
      <w:pPr>
        <w:spacing w:line="360" w:lineRule="auto"/>
        <w:jc w:val="both"/>
        <w:rPr>
          <w:rFonts w:ascii="Times New Roman" w:hAnsi="Times New Roman" w:cs="Times New Roman"/>
          <w:sz w:val="28"/>
          <w:szCs w:val="28"/>
        </w:rPr>
      </w:pPr>
      <w:r w:rsidRPr="00FB228D">
        <w:rPr>
          <w:rFonts w:ascii="Times New Roman" w:hAnsi="Times New Roman" w:cs="Times New Roman"/>
          <w:sz w:val="28"/>
          <w:szCs w:val="28"/>
        </w:rPr>
        <w:t xml:space="preserve"> [2] A. Al-Fuqaha, M. Guizani, M. Mohammadi, M. Aledhari, and M. Ayyash, “Internet of things: A survey on enabling technologies, protocols, and applications,” IEEE Communications Surveys Tutorials, vol. 17, no. 4, pp. 2347–2376, Fourthquarter 2015. </w:t>
      </w:r>
    </w:p>
    <w:p w:rsidR="00FB228D" w:rsidRPr="00FB228D" w:rsidRDefault="00FB228D" w:rsidP="00AA1BB3">
      <w:pPr>
        <w:spacing w:line="360" w:lineRule="auto"/>
        <w:jc w:val="both"/>
        <w:rPr>
          <w:rFonts w:ascii="Times New Roman" w:hAnsi="Times New Roman" w:cs="Times New Roman"/>
          <w:sz w:val="28"/>
          <w:szCs w:val="28"/>
        </w:rPr>
      </w:pPr>
      <w:r w:rsidRPr="00FB228D">
        <w:rPr>
          <w:rFonts w:ascii="Times New Roman" w:hAnsi="Times New Roman" w:cs="Times New Roman"/>
          <w:sz w:val="28"/>
          <w:szCs w:val="28"/>
        </w:rPr>
        <w:t>[3] S. S. Reka and T. Dragicevic, “Future effectual role of energy delivery: A comprehensive review of internet of things and smart grid,” Renewable and Sustainable Energy Reviews, vol. 91, pp. 90 – 108, 2018.</w:t>
      </w:r>
    </w:p>
    <w:p w:rsidR="00FB228D" w:rsidRPr="00FB228D" w:rsidRDefault="00FB228D" w:rsidP="00AA1BB3">
      <w:pPr>
        <w:spacing w:line="360" w:lineRule="auto"/>
        <w:jc w:val="both"/>
        <w:rPr>
          <w:rFonts w:ascii="Times New Roman" w:hAnsi="Times New Roman" w:cs="Times New Roman"/>
          <w:sz w:val="28"/>
          <w:szCs w:val="28"/>
        </w:rPr>
      </w:pPr>
      <w:r w:rsidRPr="00FB228D">
        <w:rPr>
          <w:rFonts w:ascii="Times New Roman" w:hAnsi="Times New Roman" w:cs="Times New Roman"/>
          <w:sz w:val="28"/>
          <w:szCs w:val="28"/>
        </w:rPr>
        <w:t xml:space="preserve"> [4] Y. Mehmood, F. Ahmad, I. Yaqoob, A. Adnane, M. Imran, and S. Guizani, “Internet-of-things-based smart cities: Recent advances and challenges,” IEEE Communications Magazine, vol. 55, no. 9, pp. 16–24, Sep. 2017. </w:t>
      </w:r>
    </w:p>
    <w:p w:rsidR="00AA1BB3" w:rsidRPr="00FB228D" w:rsidRDefault="00FB228D" w:rsidP="00AA1BB3">
      <w:pPr>
        <w:spacing w:line="360" w:lineRule="auto"/>
        <w:jc w:val="both"/>
        <w:rPr>
          <w:rFonts w:ascii="Times New Roman" w:hAnsi="Times New Roman" w:cs="Times New Roman"/>
          <w:sz w:val="28"/>
          <w:szCs w:val="28"/>
        </w:rPr>
      </w:pPr>
      <w:r w:rsidRPr="00FB228D">
        <w:rPr>
          <w:rFonts w:ascii="Times New Roman" w:hAnsi="Times New Roman" w:cs="Times New Roman"/>
          <w:sz w:val="28"/>
          <w:szCs w:val="28"/>
        </w:rPr>
        <w:t>[5] G. A. Akpakwu, B. J. Silva, G. P. Hancke, and A. M. Abu-Mahfouz, “A Survey on 5G Networks for the Internet of Things: Communication Technologies and Challenges,” IEEE Access, vol. 6, pp. 3619–3647, 2018.</w:t>
      </w:r>
    </w:p>
    <w:sectPr w:rsidR="00AA1BB3" w:rsidRPr="00FB22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3E3F8F"/>
    <w:multiLevelType w:val="hybridMultilevel"/>
    <w:tmpl w:val="0F7A0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D15022"/>
    <w:multiLevelType w:val="hybridMultilevel"/>
    <w:tmpl w:val="C792D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7C4"/>
    <w:rsid w:val="00072EE0"/>
    <w:rsid w:val="0026374D"/>
    <w:rsid w:val="004C433F"/>
    <w:rsid w:val="004E5347"/>
    <w:rsid w:val="00620A68"/>
    <w:rsid w:val="009563F1"/>
    <w:rsid w:val="00AA1BB3"/>
    <w:rsid w:val="00B736D2"/>
    <w:rsid w:val="00D52000"/>
    <w:rsid w:val="00E257C4"/>
    <w:rsid w:val="00F05152"/>
    <w:rsid w:val="00FB2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3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3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E8BAA-1043-4526-83F8-2B6538677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987</Words>
  <Characters>5626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2021-10-06T09:52:00Z</dcterms:created>
  <dcterms:modified xsi:type="dcterms:W3CDTF">2021-10-07T04:25:00Z</dcterms:modified>
</cp:coreProperties>
</file>